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8" w:rsidRDefault="00A33DC7" w:rsidP="006B2558">
      <w:pPr>
        <w:pStyle w:val="Standard"/>
        <w:rPr>
          <w:rFonts w:ascii="TimesNewRomanPSMT" w:hAnsi="TimesNewRomanPSMT" w:hint="eastAsia"/>
          <w:b/>
          <w:bCs/>
          <w:color w:val="231F20"/>
        </w:rPr>
      </w:pPr>
      <w:bookmarkStart w:id="0" w:name="_GoBack"/>
      <w:bookmarkEnd w:id="0"/>
      <w:r>
        <w:rPr>
          <w:rFonts w:ascii="TimesNewRomanPSMT" w:hAnsi="TimesNewRomanPSMT"/>
          <w:b/>
          <w:bCs/>
          <w:color w:val="231F20"/>
        </w:rPr>
        <w:t>8</w:t>
      </w:r>
      <w:r w:rsidR="006B2558">
        <w:rPr>
          <w:rFonts w:ascii="TimesNewRomanPSMT" w:hAnsi="TimesNewRomanPSMT"/>
          <w:b/>
          <w:bCs/>
          <w:color w:val="231F20"/>
        </w:rPr>
        <w:t>. РАЗРЕД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279"/>
        <w:gridCol w:w="3285"/>
      </w:tblGrid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jc w:val="center"/>
              <w:rPr>
                <w:rFonts w:ascii="TimesNewRomanPSMT" w:hAnsi="TimesNewRomanPSMT" w:cs="F" w:hint="eastAsia"/>
                <w:b/>
                <w:color w:val="231F20"/>
                <w:sz w:val="32"/>
                <w:szCs w:val="32"/>
              </w:rPr>
            </w:pPr>
            <w:r w:rsidRPr="00A33DC7">
              <w:rPr>
                <w:rFonts w:ascii="TimesNewRomanPSMT" w:hAnsi="TimesNewRomanPSMT" w:cs="F"/>
                <w:b/>
                <w:color w:val="231F20"/>
                <w:sz w:val="32"/>
                <w:szCs w:val="32"/>
              </w:rPr>
              <w:t>БРОЈЕВИ И ОПЕРАЦИЈЕ СА ЊИМА</w:t>
            </w: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jc w:val="center"/>
              <w:rPr>
                <w:rFonts w:ascii="TimesNewRomanPSMT" w:hAnsi="TimesNewRomanPSMT" w:cs="F" w:hint="eastAsia"/>
                <w:b/>
                <w:color w:val="231F20"/>
                <w:sz w:val="24"/>
                <w:szCs w:val="24"/>
              </w:rPr>
            </w:pPr>
            <w:r w:rsidRPr="00A33DC7">
              <w:rPr>
                <w:rFonts w:ascii="TimesNewRomanPSMT" w:hAnsi="TimesNewRomanPSMT" w:cs="F"/>
                <w:b/>
                <w:color w:val="231F20"/>
                <w:sz w:val="24"/>
                <w:szCs w:val="24"/>
              </w:rPr>
              <w:t>основни ниво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jc w:val="center"/>
              <w:rPr>
                <w:rFonts w:ascii="TimesNewRomanPSMT" w:hAnsi="TimesNewRomanPSMT" w:cs="F" w:hint="eastAsia"/>
                <w:b/>
                <w:color w:val="231F20"/>
                <w:sz w:val="24"/>
                <w:szCs w:val="24"/>
              </w:rPr>
            </w:pPr>
            <w:r w:rsidRPr="00A33DC7">
              <w:rPr>
                <w:rFonts w:ascii="TimesNewRomanPSMT" w:hAnsi="TimesNewRomanPSMT" w:cs="F"/>
                <w:b/>
                <w:color w:val="231F20"/>
                <w:sz w:val="24"/>
                <w:szCs w:val="24"/>
              </w:rPr>
              <w:t>средњи ниво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jc w:val="center"/>
              <w:rPr>
                <w:rFonts w:ascii="TimesNewRomanPSMT" w:hAnsi="TimesNewRomanPSMT" w:cs="F" w:hint="eastAsia"/>
                <w:b/>
                <w:color w:val="231F20"/>
                <w:sz w:val="24"/>
                <w:szCs w:val="24"/>
              </w:rPr>
            </w:pPr>
            <w:r w:rsidRPr="00A33DC7">
              <w:rPr>
                <w:rFonts w:ascii="TimesNewRomanPSMT" w:hAnsi="TimesNewRomanPSMT" w:cs="F"/>
                <w:b/>
                <w:color w:val="231F20"/>
                <w:sz w:val="24"/>
                <w:szCs w:val="24"/>
              </w:rPr>
              <w:t>напредни ниво</w:t>
            </w: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прочита и запише различите  врсте бројева (природне, целе, рационалне)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преведе децимални запис броја у разломак и обратно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упореди по величини бројеве истог записа, помажући се сликом кад је то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потребно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упореди по величини бројеве записане у различитим облицим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изврши једну основну рачунску операцију са бројевима истог записа, помажући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се сликом кад је то потребно (у случају сабирања и одузимања разломака само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са истим имениоцем); рачуна, на пример 1/5 од n, где је n дати природан број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одреди супротан број, реципрочну вредност и апсолутну вредност броја; израчуна вредност једноставнијег израза са више рачунских операција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различитог приоритета, укључујући ослобађање од заграда, са бројевима истог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записа</w:t>
            </w:r>
            <w:r w:rsidRPr="00A33DC7">
              <w:rPr>
                <w:rFonts w:ascii="TimesNewRomanPSMT" w:hAnsi="TimesNewRomanPSMT" w:cs="F"/>
                <w:color w:val="231F20"/>
              </w:rPr>
              <w:br/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Одреди вредност сложенијег бројевног израза</w:t>
            </w: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дели са остатком једноцифреним бројем и зна када је један број дељив другим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примени основна правила дељивости са 2, 3, 5, 9 и декадним јединицама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Оперише са појмом дељивости у проблемским ситуацијама</w:t>
            </w:r>
          </w:p>
        </w:tc>
      </w:tr>
      <w:tr w:rsidR="00A33DC7" w:rsidRPr="00A33DC7" w:rsidTr="00292C13">
        <w:tblPrEx>
          <w:tblCellMar>
            <w:top w:w="0" w:type="dxa"/>
            <w:bottom w:w="0" w:type="dxa"/>
          </w:tblCellMar>
        </w:tblPrEx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користи целе бројеве и једноставне изразе са њима помажући се визуелним</w:t>
            </w:r>
            <w:r w:rsidRPr="00A33DC7">
              <w:rPr>
                <w:rFonts w:ascii="TimesNewRomanPSMT" w:hAnsi="TimesNewRomanPSMT" w:cs="F"/>
                <w:color w:val="231F20"/>
              </w:rPr>
              <w:br/>
              <w:t>представама</w:t>
            </w:r>
          </w:p>
        </w:tc>
        <w:tc>
          <w:tcPr>
            <w:tcW w:w="3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користи бројеве и бројевне изразе у једноставним реалним ситуацијама</w:t>
            </w:r>
          </w:p>
        </w:tc>
        <w:tc>
          <w:tcPr>
            <w:tcW w:w="3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Pr="00A33DC7" w:rsidRDefault="00A33DC7" w:rsidP="00A33DC7">
            <w:pPr>
              <w:widowControl/>
              <w:spacing w:after="0" w:line="240" w:lineRule="auto"/>
              <w:rPr>
                <w:rFonts w:ascii="TimesNewRomanPSMT" w:hAnsi="TimesNewRomanPSMT" w:cs="F" w:hint="eastAsia"/>
                <w:color w:val="231F20"/>
              </w:rPr>
            </w:pPr>
            <w:r w:rsidRPr="00A33DC7">
              <w:rPr>
                <w:rFonts w:ascii="TimesNewRomanPSMT" w:hAnsi="TimesNewRomanPSMT" w:cs="F"/>
                <w:color w:val="231F20"/>
              </w:rPr>
              <w:t>Користи бројеве и бројевне изразе у реалним ситуацијама</w:t>
            </w:r>
          </w:p>
        </w:tc>
      </w:tr>
    </w:tbl>
    <w:p w:rsidR="008B7F1E" w:rsidRDefault="008B7F1E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МЕРЕЊЕ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користи одговарајуће јединице за мерење дужине, површине, масе, времена и углова</w:t>
            </w:r>
          </w:p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Претвори износ једне валуте у другу правилно постављајући одговарајућу пропорцију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rPr>
                <w:rFonts w:ascii="TimesNewRomanPSMT" w:hAnsi="TimesNewRomanPSMT"/>
                <w:color w:val="231F20"/>
              </w:rPr>
              <w:t>Претвори веће јединице дужине, масе и времена у мање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пореди величине које су изражене различитим мерним јединицама за дужину и</w:t>
            </w:r>
            <w:r>
              <w:rPr>
                <w:rFonts w:ascii="TimesNewRomanPSMT" w:hAnsi="TimesNewRomanPSMT"/>
                <w:color w:val="231F20"/>
              </w:rPr>
              <w:br/>
              <w:t>масу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 потреби претвара јединице мере, рачунајући са њима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 xml:space="preserve">користи различите апоене новца,  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 мерењу одабере одговарајућу мерну јединицу; заокругљује величине</w:t>
            </w:r>
            <w:r>
              <w:rPr>
                <w:rFonts w:ascii="TimesNewRomanPSMT" w:hAnsi="TimesNewRomanPSMT"/>
                <w:color w:val="231F20"/>
              </w:rPr>
              <w:br/>
              <w:t>исказане датом мером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дату величину искаже приближном вредношћу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процени и заокругли дате податке и рачуна са таквим приближним вредностима: изражава оцену грешке (нпр. Мање од 1 динар, 1 с</w:t>
            </w:r>
            <w:r>
              <w:rPr>
                <w:rFonts w:ascii="TimesNewRomanPSMT" w:hAnsi="TimesNewRomanPSMT"/>
                <w:color w:val="231F20"/>
                <w:lang w:val="en-US"/>
              </w:rPr>
              <w:t>m</w:t>
            </w:r>
            <w:r>
              <w:rPr>
                <w:rFonts w:ascii="TimesNewRomanPSMT" w:hAnsi="TimesNewRomanPSMT"/>
                <w:color w:val="231F20"/>
              </w:rPr>
              <w:t>, 1</w:t>
            </w:r>
            <w:r>
              <w:rPr>
                <w:rFonts w:ascii="TimesNewRomanPSMT" w:hAnsi="TimesNewRomanPSMT"/>
                <w:color w:val="231F20"/>
                <w:lang w:val="en-US"/>
              </w:rPr>
              <w:t>g)</w:t>
            </w:r>
          </w:p>
        </w:tc>
      </w:tr>
    </w:tbl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 w:rsidP="008B7F1E">
      <w:pPr>
        <w:widowControl/>
        <w:suppressAutoHyphens w:val="0"/>
        <w:autoSpaceDN/>
        <w:textAlignment w:val="auto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3289"/>
        <w:gridCol w:w="3264"/>
      </w:tblGrid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АЛГЕБРА И ФУНКЦИЈЕ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основни ниво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средњи ниво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напредни ниво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врши формалне операције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које су редуциране и зависе од интерпретације; уме да: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рачунске процедуре</w:t>
            </w:r>
            <w:r>
              <w:rPr>
                <w:rFonts w:ascii="TimesNewRomanPS-BoldMT" w:hAnsi="TimesNewRomanPS-BoldMT"/>
                <w:color w:val="231F2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довео/ла до солидног степена увежбаности; уме да: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rPr>
                <w:rFonts w:ascii="TimesNewRomanPS-BoldMT" w:hAnsi="TimesNewRomanPS-BoldMT"/>
                <w:b/>
                <w:bCs/>
                <w:color w:val="231F20"/>
              </w:rPr>
              <w:t xml:space="preserve">У области </w:t>
            </w:r>
            <w:r>
              <w:rPr>
                <w:rFonts w:ascii="TimesNewRomanPS-BoldItalicMT" w:hAnsi="TimesNewRomanPS-BoldItalicMT"/>
                <w:b/>
                <w:bCs/>
                <w:i/>
                <w:iCs/>
                <w:color w:val="231F20"/>
              </w:rPr>
              <w:t xml:space="preserve">АЛГЕБРА И ФУНКЦИЈЕ </w:t>
            </w:r>
            <w:r>
              <w:rPr>
                <w:rFonts w:ascii="TimesNewRomanPS-BoldMT" w:hAnsi="TimesNewRomanPS-BoldMT"/>
                <w:b/>
                <w:bCs/>
                <w:color w:val="231F20"/>
              </w:rPr>
              <w:t>ученик/ученица је постигао висок степен увежбаности извођења операција уз истицање својстава која се примењују; уме да: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реши линеарне једначине у којима се непозната појављује само у једном члану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Реши линеарне једначине и системе линеарних једначина са две непознате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Саставља и решава линеарне једначине и неједначине и системе линеарних једначина са две непознате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користи особине степена и квадратног корена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зна и примењује формуле за разлику квадрата и квадрат бинома; увежбано трансформише алгебарске изразе и своди их на најједноставнији облик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Израчуна степен датог броја, зна основне операције са степенима сабира, одузима и множи мономе</w:t>
            </w: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Оперише са степенима и зна шта је квадратни корен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сабира и одузима полиноме, уме да помножи два бинома и да квадрира бином</w:t>
            </w:r>
          </w:p>
        </w:tc>
        <w:tc>
          <w:tcPr>
            <w:tcW w:w="3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Разликује директно и обрнуто пропорционалне величине и то изражава одговарајућим записом; зна линеарну функцију и графички интерпретира њена својства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вредност функције дате таблицом или формулом</w:t>
            </w:r>
          </w:p>
        </w:tc>
        <w:tc>
          <w:tcPr>
            <w:tcW w:w="328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Уочи зависност међу променљивим, зна функцију y=ax и графички интерпретира њена својства; везује за та својства појам директне пропорционалности и одређује непознати члан пропорције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користи једначине у једноставним текстуалним задацима</w:t>
            </w:r>
          </w:p>
        </w:tc>
        <w:tc>
          <w:tcPr>
            <w:tcW w:w="32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Користи једначине, неједначине и системе једначина решавајући и сложеније текстуалне задатке</w:t>
            </w:r>
          </w:p>
        </w:tc>
      </w:tr>
    </w:tbl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>
      <w:pPr>
        <w:widowControl/>
        <w:suppressAutoHyphens w:val="0"/>
        <w:autoSpaceDN/>
        <w:textAlignment w:val="auto"/>
      </w:pPr>
      <w:r>
        <w:br w:type="page"/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ОБРАДА ПОДАТАКА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ученик уме 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Изражава положај објеката сврставајући их у врсте и колоне; одреди положај тачке у првом квадарнту координатног система ако су дате координате и обратно</w:t>
            </w:r>
          </w:p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color w:val="231F20"/>
              </w:rPr>
              <w:t>Влада описом координатног система (одређује координате тачака, осно или централно симетричних итд)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положај (координате) тачака које задовољавају сложеније услове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Прочита и разуме податак са графикона, дијаграма или из табеле, и одреди минимум или максимум зависне величине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узорака са средњом вредношћу)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Тумачи дијаграме и табеле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Податке из табеле прикаже графиконом и обрнуто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Обради прикупљене податке и представи их табеларно или графички; представља средњу вредност медијаном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Прикупи и обради податке и сам састави дијаграм или табелу; црта график којим представља међузависност величина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задати проценат неке величине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Примени процентни рачун у једноставним реалним ситуацијама ( на пример, промена цене неког производа за дати проценат)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Примени процентни рачун у сложенијим ситуацијама</w:t>
            </w:r>
          </w:p>
        </w:tc>
      </w:tr>
    </w:tbl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 w:rsidP="008B7F1E">
      <w:pPr>
        <w:widowControl/>
        <w:suppressAutoHyphens w:val="0"/>
        <w:autoSpaceDN/>
        <w:textAlignment w:val="auto"/>
      </w:pPr>
    </w:p>
    <w:p w:rsidR="00A33DC7" w:rsidRDefault="00A33DC7">
      <w:pPr>
        <w:widowControl/>
        <w:suppressAutoHyphens w:val="0"/>
        <w:autoSpaceDN/>
        <w:textAlignment w:val="auto"/>
      </w:pPr>
      <w:r>
        <w:br w:type="page"/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ГЕОМЕТРИЈА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Основни ниво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средњи ниво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напредни ниво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дуж, полуправа, права, раван и угао (уочава њихове моделе</w:t>
            </w:r>
            <w:r>
              <w:rPr>
                <w:rFonts w:ascii="TimesNewRomanPSMT" w:hAnsi="TimesNewRomanPSMT"/>
                <w:color w:val="231F20"/>
              </w:rPr>
              <w:br/>
              <w:t>у реалним ситуацијама и уме да их нацрта користећи прибор; разликује неке</w:t>
            </w:r>
            <w:r>
              <w:rPr>
                <w:rFonts w:ascii="TimesNewRomanPSMT" w:hAnsi="TimesNewRomanPSMT"/>
                <w:color w:val="231F20"/>
              </w:rPr>
              <w:br/>
              <w:t>врсте углова и паралелне и нормалне праве)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суплементне и комплементне углове, упoредне и унакрсне углове; рачуна</w:t>
            </w:r>
            <w:r>
              <w:rPr>
                <w:rFonts w:ascii="TimesNewRomanPSMT" w:hAnsi="TimesNewRomanPSMT"/>
                <w:color w:val="231F20"/>
              </w:rPr>
              <w:br/>
              <w:t>са њима ако су изражени у целим степенима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рачуна са угловима укључујући и претварање угаоних мера; закључује користећи</w:t>
            </w:r>
            <w:r>
              <w:rPr>
                <w:rFonts w:ascii="TimesNewRomanPSMT" w:hAnsi="TimesNewRomanPSMT"/>
                <w:color w:val="231F20"/>
              </w:rPr>
              <w:br/>
              <w:t>особине паралелних и нормалних правих, укључујући углове на трансверзали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троугао, четвороугао, квадрат и правоугаоник ( уочава</w:t>
            </w:r>
            <w:r>
              <w:rPr>
                <w:rFonts w:ascii="TimesNewRomanPSMT" w:hAnsi="TimesNewRomanPSMT"/>
                <w:color w:val="231F20"/>
              </w:rPr>
              <w:br/>
              <w:t>њихове моделе у реалним ситуацијама и уме да их нацрта користећи прибор; ученик разликује основне врсте троуглова, зна основне елементе троугла  и уме да израчуна обим и површину троугла, квадрата и правоугаоника на основу елемената који непосредно фигуришу у датом задатку ; уме да израчуна непознату страницу  правоуглог троугла примењујући Питагорину теорему)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Одреди однос углова и страница у троуглу, збир углова у троуглу и четвороуглу; одреди број дијагонала, збир углова, обим и површину многоугла (на основу елемената који непосредно фигуришу у задатку) и да решава задатке користећи Питагорину теорему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Користи основна својства троугла, четвороугла, паралелограма и трапеза, рачуна њихове обиме и површине на основу елемената који нису обавезно непосредно дати у формулацији задатка; уме да их конструише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круг,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полупречника)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Користи формуле за обим и површину круга и кружног прстена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Одреди централни и периферијски угао, рачуна површину исечка, као и дужину лука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Влада појмовима: купа, ваљак и лопта (уочава њихове моделе у реалним ситуацијама, зна њихове основне елементе)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Влада појмовима: призма и пирамида; рачуна њихову површину и запремину када су неопходни елементи непосредно дати у задатку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Израчуна површину и запремину ваљка, купе и лопте када су неопходни елементи непосредно дати у задатку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 xml:space="preserve"> Израчуна површину и запремину призме и пирамиде, укључујући случајеве када неопходни елементи нису непосредно дати</w:t>
            </w:r>
          </w:p>
          <w:p w:rsidR="00A33DC7" w:rsidRDefault="00A33DC7" w:rsidP="00292C13">
            <w:pPr>
              <w:pStyle w:val="Standard"/>
              <w:spacing w:after="0" w:line="240" w:lineRule="auto"/>
            </w:pPr>
            <w:r>
              <w:t>Израчуна површину и запремину ваљка, купе и лопте, укључујући случајеве када неопходни елементи нису непосредно дати</w:t>
            </w:r>
          </w:p>
        </w:tc>
      </w:tr>
      <w:tr w:rsidR="00A33DC7" w:rsidTr="00292C13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NewRomanPSMT" w:hAnsi="TimesNewRomanPSMT" w:hint="eastAsia"/>
                <w:color w:val="231F20"/>
              </w:rPr>
            </w:pPr>
            <w:r>
              <w:rPr>
                <w:rFonts w:ascii="TimesNewRomanPSMT" w:hAnsi="TimesNewRomanPSMT"/>
                <w:color w:val="231F20"/>
              </w:rPr>
              <w:t>Интуитивно схвата појам подударних фигура (кретањем до поклапања)</w:t>
            </w:r>
          </w:p>
        </w:tc>
        <w:tc>
          <w:tcPr>
            <w:tcW w:w="32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Уочи осносиметричне фигуре и да одреди осу симетрије; користи подударност и везује је са карактеристичним својствима фигура (нпр. паралелност и једнакост страница паралелограма)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DC7" w:rsidRDefault="00A33DC7" w:rsidP="00292C13">
            <w:pPr>
              <w:pStyle w:val="Standard"/>
              <w:spacing w:after="0" w:line="240" w:lineRule="auto"/>
            </w:pPr>
            <w:r>
              <w:t>Примени подударност и сличност троуглова, повезујући тако разна својства геометријских објеката</w:t>
            </w:r>
          </w:p>
        </w:tc>
      </w:tr>
    </w:tbl>
    <w:p w:rsidR="00A33DC7" w:rsidRDefault="00A33DC7" w:rsidP="008B7F1E">
      <w:pPr>
        <w:widowControl/>
        <w:suppressAutoHyphens w:val="0"/>
        <w:autoSpaceDN/>
        <w:textAlignment w:val="auto"/>
      </w:pPr>
    </w:p>
    <w:sectPr w:rsidR="00A33DC7" w:rsidSect="00802CE1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C8"/>
    <w:rsid w:val="004158C8"/>
    <w:rsid w:val="004B776C"/>
    <w:rsid w:val="006B2558"/>
    <w:rsid w:val="00802CE1"/>
    <w:rsid w:val="008B7F1E"/>
    <w:rsid w:val="00A33DC7"/>
    <w:rsid w:val="00BF0127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33DC7"/>
    <w:pPr>
      <w:spacing w:after="120"/>
    </w:pPr>
    <w:rPr>
      <w:rFonts w:cs="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311E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11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33DC7"/>
    <w:pPr>
      <w:spacing w:after="120"/>
    </w:pPr>
    <w:rPr>
      <w:rFonts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1114</Words>
  <Characters>6353</Characters>
  <Application>Microsoft Office Word</Application>
  <DocSecurity>0</DocSecurity>
  <Lines>52</Lines>
  <Paragraphs>14</Paragraphs>
  <ScaleCrop>false</ScaleCrop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7</cp:revision>
  <dcterms:created xsi:type="dcterms:W3CDTF">2017-07-09T08:04:00Z</dcterms:created>
  <dcterms:modified xsi:type="dcterms:W3CDTF">2017-07-09T08:23:00Z</dcterms:modified>
</cp:coreProperties>
</file>